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258F247" w14:textId="136B160F" w:rsidR="00497338" w:rsidRPr="00497338" w:rsidRDefault="00497338" w:rsidP="008A76AC">
      <w:pPr>
        <w:spacing w:line="276" w:lineRule="auto"/>
        <w:rPr>
          <w:rFonts w:ascii="Arial" w:hAnsi="Arial" w:cs="Arial"/>
        </w:rPr>
      </w:pPr>
      <w:r w:rsidRPr="00497338">
        <w:rPr>
          <w:rFonts w:ascii="Arial" w:hAnsi="Arial" w:cs="Arial"/>
          <w:b/>
          <w:bCs/>
          <w:color w:val="9D2235"/>
          <w:sz w:val="36"/>
          <w:szCs w:val="36"/>
        </w:rPr>
        <w:t xml:space="preserve">Modificació dels preceptes del </w:t>
      </w:r>
      <w:r w:rsidR="001D3236">
        <w:rPr>
          <w:rFonts w:ascii="Arial" w:hAnsi="Arial" w:cs="Arial"/>
          <w:b/>
          <w:bCs/>
          <w:color w:val="9D2235"/>
          <w:sz w:val="36"/>
          <w:szCs w:val="36"/>
        </w:rPr>
        <w:t>m</w:t>
      </w:r>
      <w:r w:rsidRPr="00497338">
        <w:rPr>
          <w:rFonts w:ascii="Arial" w:hAnsi="Arial" w:cs="Arial"/>
          <w:b/>
          <w:bCs/>
          <w:color w:val="9D2235"/>
          <w:sz w:val="36"/>
          <w:szCs w:val="36"/>
        </w:rPr>
        <w:t>odel d</w:t>
      </w:r>
      <w:r w:rsidR="001D3236">
        <w:rPr>
          <w:rFonts w:ascii="Arial" w:hAnsi="Arial" w:cs="Arial"/>
          <w:b/>
          <w:bCs/>
          <w:color w:val="9D2235"/>
          <w:sz w:val="36"/>
          <w:szCs w:val="36"/>
        </w:rPr>
        <w:t>’o</w:t>
      </w:r>
      <w:r w:rsidRPr="00497338">
        <w:rPr>
          <w:rFonts w:ascii="Arial" w:hAnsi="Arial" w:cs="Arial"/>
          <w:b/>
          <w:bCs/>
          <w:color w:val="9D2235"/>
          <w:sz w:val="36"/>
          <w:szCs w:val="36"/>
        </w:rPr>
        <w:t>rdenança tipus pe</w:t>
      </w:r>
      <w:r w:rsidR="001D3236">
        <w:rPr>
          <w:rFonts w:ascii="Arial" w:hAnsi="Arial" w:cs="Arial"/>
          <w:b/>
          <w:bCs/>
          <w:color w:val="9D2235"/>
          <w:sz w:val="36"/>
          <w:szCs w:val="36"/>
        </w:rPr>
        <w:t>r a</w:t>
      </w:r>
      <w:r w:rsidRPr="00497338">
        <w:rPr>
          <w:rFonts w:ascii="Arial" w:hAnsi="Arial" w:cs="Arial"/>
          <w:b/>
          <w:bCs/>
          <w:color w:val="9D2235"/>
          <w:sz w:val="36"/>
          <w:szCs w:val="36"/>
        </w:rPr>
        <w:t>ls mercats de venda no sedentària</w:t>
      </w:r>
      <w:r w:rsidR="001D3236"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r w:rsidRPr="00497338">
        <w:rPr>
          <w:rFonts w:ascii="Arial" w:hAnsi="Arial" w:cs="Arial"/>
          <w:b/>
          <w:bCs/>
          <w:color w:val="9D2235"/>
          <w:sz w:val="36"/>
          <w:szCs w:val="36"/>
        </w:rPr>
        <w:t>de la demarcació de Barcelona</w:t>
      </w:r>
      <w:r w:rsidR="001D3236">
        <w:rPr>
          <w:rFonts w:ascii="Arial" w:hAnsi="Arial" w:cs="Arial"/>
          <w:b/>
          <w:bCs/>
          <w:color w:val="9D2235"/>
          <w:sz w:val="36"/>
          <w:szCs w:val="36"/>
        </w:rPr>
        <w:t>,</w:t>
      </w:r>
      <w:r w:rsidRPr="00497338">
        <w:rPr>
          <w:rFonts w:ascii="Arial" w:hAnsi="Arial" w:cs="Arial"/>
          <w:b/>
          <w:bCs/>
          <w:color w:val="9D2235"/>
          <w:sz w:val="36"/>
          <w:szCs w:val="36"/>
        </w:rPr>
        <w:t xml:space="preserve"> aprovada</w:t>
      </w:r>
      <w:r w:rsidR="001D3236">
        <w:rPr>
          <w:rFonts w:ascii="Arial" w:hAnsi="Arial" w:cs="Arial"/>
          <w:b/>
          <w:bCs/>
          <w:color w:val="9D2235"/>
          <w:sz w:val="36"/>
          <w:szCs w:val="36"/>
        </w:rPr>
        <w:t xml:space="preserve"> </w:t>
      </w:r>
      <w:r w:rsidRPr="00497338">
        <w:rPr>
          <w:rFonts w:ascii="Arial" w:hAnsi="Arial" w:cs="Arial"/>
          <w:b/>
          <w:bCs/>
          <w:color w:val="9D2235"/>
          <w:sz w:val="36"/>
          <w:szCs w:val="36"/>
        </w:rPr>
        <w:t>l</w:t>
      </w:r>
      <w:r w:rsidR="001D3236">
        <w:rPr>
          <w:rFonts w:ascii="Arial" w:hAnsi="Arial" w:cs="Arial"/>
          <w:b/>
          <w:bCs/>
          <w:color w:val="9D2235"/>
          <w:sz w:val="36"/>
          <w:szCs w:val="36"/>
        </w:rPr>
        <w:t>’</w:t>
      </w:r>
      <w:r w:rsidRPr="00497338">
        <w:rPr>
          <w:rFonts w:ascii="Arial" w:hAnsi="Arial" w:cs="Arial"/>
          <w:b/>
          <w:bCs/>
          <w:color w:val="9D2235"/>
          <w:sz w:val="36"/>
          <w:szCs w:val="36"/>
        </w:rPr>
        <w:t>1 d</w:t>
      </w:r>
      <w:r w:rsidR="001D3236">
        <w:rPr>
          <w:rFonts w:ascii="Arial" w:hAnsi="Arial" w:cs="Arial"/>
          <w:b/>
          <w:bCs/>
          <w:color w:val="9D2235"/>
          <w:sz w:val="36"/>
          <w:szCs w:val="36"/>
        </w:rPr>
        <w:t>’</w:t>
      </w:r>
      <w:r w:rsidRPr="00497338">
        <w:rPr>
          <w:rFonts w:ascii="Arial" w:hAnsi="Arial" w:cs="Arial"/>
          <w:b/>
          <w:bCs/>
          <w:color w:val="9D2235"/>
          <w:sz w:val="36"/>
          <w:szCs w:val="36"/>
        </w:rPr>
        <w:t>agost de 2016</w:t>
      </w:r>
    </w:p>
    <w:p w14:paraId="14D4F0D1" w14:textId="3D426584" w:rsidR="00F31BEB" w:rsidRDefault="00497338" w:rsidP="008A7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br/>
        <w:t>Antecedents</w:t>
      </w:r>
      <w:r w:rsidR="00000000">
        <w:rPr>
          <w:rFonts w:ascii="Arial" w:hAnsi="Arial" w:cs="Arial"/>
        </w:rPr>
        <w:pict w14:anchorId="240778C8">
          <v:rect id="_x0000_i1025" style="width:481.9pt;height:1.5pt" o:hralign="center" o:hrstd="t" o:hrnoshade="t" o:hr="t" fillcolor="#9d2235" stroked="f"/>
        </w:pict>
      </w:r>
    </w:p>
    <w:p w14:paraId="4A18ADA6" w14:textId="4201F803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La Diputació de Barcelona, per Decret de la Presidència de 25 de juliol de 2016, aprova una ordenança tipus de venda no sedentària (BOPB d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1 d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agost de 2016) per tal de facilitar als ajuntaments de la seva demarcació el compliment del Decret núm. 162/2015, de 14 de juliol, de venda no sedentària en els mercats de marxants; norma que disposava l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adaptació de les ordenances municipals al seu contingut.</w:t>
      </w:r>
    </w:p>
    <w:p w14:paraId="0992C315" w14:textId="377535B2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Posteriorment, la Generalitat de Catalunya aprova la Llei 18/2017, d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 xml:space="preserve">1 agost, de comerç, serveis i fires (Llei de comerç), que no deroga expressament el Decret 162/2017, sinó </w:t>
      </w:r>
      <w:r w:rsidR="001D3236">
        <w:rPr>
          <w:rFonts w:ascii="Arial" w:hAnsi="Arial" w:cs="Arial"/>
        </w:rPr>
        <w:t>nom</w:t>
      </w:r>
      <w:r w:rsidRPr="00497338">
        <w:rPr>
          <w:rFonts w:ascii="Arial" w:hAnsi="Arial" w:cs="Arial"/>
        </w:rPr>
        <w:t xml:space="preserve"> allò que </w:t>
      </w:r>
      <w:r w:rsidR="001D3236">
        <w:rPr>
          <w:rFonts w:ascii="Arial" w:hAnsi="Arial" w:cs="Arial"/>
        </w:rPr>
        <w:t>sigui</w:t>
      </w:r>
      <w:r w:rsidRPr="00497338">
        <w:rPr>
          <w:rFonts w:ascii="Arial" w:hAnsi="Arial" w:cs="Arial"/>
        </w:rPr>
        <w:t xml:space="preserve"> contrari</w:t>
      </w:r>
      <w:r w:rsidR="001D3236">
        <w:rPr>
          <w:rFonts w:ascii="Arial" w:hAnsi="Arial" w:cs="Arial"/>
        </w:rPr>
        <w:t xml:space="preserve"> a la nova llei</w:t>
      </w:r>
      <w:r w:rsidRPr="00497338">
        <w:rPr>
          <w:rFonts w:ascii="Arial" w:hAnsi="Arial" w:cs="Arial"/>
        </w:rPr>
        <w:t>.</w:t>
      </w:r>
    </w:p>
    <w:p w14:paraId="25F884F2" w14:textId="1F72F05E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 xml:space="preserve">Ara bé, la Llei de comerç sí modifica el règim de les transmissions de les autoritzacions de venda no sedentària, així com el règim sancionador. Val a dir que aquesta </w:t>
      </w:r>
      <w:r w:rsidR="001D3236">
        <w:rPr>
          <w:rFonts w:ascii="Arial" w:hAnsi="Arial" w:cs="Arial"/>
        </w:rPr>
        <w:t>l</w:t>
      </w:r>
      <w:r w:rsidRPr="00497338">
        <w:rPr>
          <w:rFonts w:ascii="Arial" w:hAnsi="Arial" w:cs="Arial"/>
        </w:rPr>
        <w:t>lei disposava el desenvolupament reglamentari quant al contingut de les ordenances municipals, però, a hores d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ara</w:t>
      </w:r>
      <w:r w:rsidR="001D3236">
        <w:rPr>
          <w:rFonts w:ascii="Arial" w:hAnsi="Arial" w:cs="Arial"/>
        </w:rPr>
        <w:t xml:space="preserve">, </w:t>
      </w:r>
      <w:r w:rsidRPr="00497338">
        <w:rPr>
          <w:rFonts w:ascii="Arial" w:hAnsi="Arial" w:cs="Arial"/>
        </w:rPr>
        <w:t>no 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ha dut a terme.</w:t>
      </w:r>
    </w:p>
    <w:p w14:paraId="4A110DDB" w14:textId="769BE4A5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Per aquest motiu, 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opta per mantenir el text de l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ordenança tipus del 2016, si bé aplicant la Llei de comerç en aquests dos aspectes.</w:t>
      </w:r>
    </w:p>
    <w:p w14:paraId="0B4D7183" w14:textId="01E6F735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 xml:space="preserve">Pel que fa al règim sancionador en aquesta matèria, </w:t>
      </w:r>
      <w:r w:rsidR="001D3236">
        <w:rPr>
          <w:rFonts w:ascii="Arial" w:hAnsi="Arial" w:cs="Arial"/>
        </w:rPr>
        <w:t>tot i que</w:t>
      </w:r>
      <w:r w:rsidRPr="00497338">
        <w:rPr>
          <w:rFonts w:ascii="Arial" w:hAnsi="Arial" w:cs="Arial"/>
        </w:rPr>
        <w:t xml:space="preserve"> inicialment només atribuïa competències sancionadores als ajuntaments per infraccions lleus, a </w:t>
      </w:r>
    </w:p>
    <w:p w14:paraId="35087818" w14:textId="77777777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partir de la modificació operada per la Llei 15/2020, de 22 de desembre, de les àrees de promoció econòmica urbana, les competències sancionadores també inclouen les infraccions greus.</w:t>
      </w:r>
    </w:p>
    <w:p w14:paraId="4E5CB513" w14:textId="58E0D694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Quant a aquest particular, cal recordar que les competències sancionadores per infraccions molt greus segueixen sent competència exclusiva del departament competent en matèria de comerç de la Generalitat de Catalunya.</w:t>
      </w:r>
    </w:p>
    <w:p w14:paraId="4AF88C10" w14:textId="1ABC8198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En aquest context, amb motiu de la petició de trenta ajuntaments de la demarcació, la Gerència de Serveis de Comerç ha sol·licitat l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elaboració d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una proposta de text que reculli, a la llum de la Llei de comerç de 2017, el règim de transmissions de les autoritzacions municipals per exercir l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activitat de venda no sedentària, així com el règim sancionador en aquesta matèria, i que substitueixi els preceptes de l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ordenança tipus de venda no sedentària que regulen aquests aspectes.</w:t>
      </w:r>
    </w:p>
    <w:p w14:paraId="3C22113D" w14:textId="675D9EB2" w:rsid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Aquest treball ha estat el resultat de diverses i continuades reunions de treball conjunt dels tècnics de la Gerència de Comerç amb aquest Servei d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Assessoria Jurídica.</w:t>
      </w:r>
    </w:p>
    <w:p w14:paraId="6E6186B8" w14:textId="2E7A3788" w:rsid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</w:p>
    <w:p w14:paraId="0F3205A7" w14:textId="77777777" w:rsidR="00497338" w:rsidRDefault="00497338">
      <w:pPr>
        <w:rPr>
          <w:rFonts w:ascii="Arial" w:hAnsi="Arial" w:cs="Arial"/>
          <w:b/>
          <w:bCs/>
          <w:color w:val="9D2235"/>
        </w:rPr>
      </w:pPr>
      <w:r>
        <w:rPr>
          <w:rFonts w:ascii="Arial" w:hAnsi="Arial" w:cs="Arial"/>
          <w:b/>
          <w:bCs/>
          <w:color w:val="9D2235"/>
        </w:rPr>
        <w:br w:type="page"/>
      </w:r>
    </w:p>
    <w:p w14:paraId="4B6A1715" w14:textId="1A59669F" w:rsidR="00497338" w:rsidRDefault="00497338" w:rsidP="004973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lastRenderedPageBreak/>
        <w:t>Consideracions jurídiques</w:t>
      </w:r>
      <w:r w:rsidR="00000000">
        <w:rPr>
          <w:rFonts w:ascii="Arial" w:hAnsi="Arial" w:cs="Arial"/>
        </w:rPr>
        <w:pict w14:anchorId="24DCF32F">
          <v:rect id="_x0000_i1026" style="width:481.9pt;height:1.5pt" o:hralign="center" o:hrstd="t" o:hrnoshade="t" o:hr="t" fillcolor="#9d2235" stroked="f"/>
        </w:pict>
      </w:r>
    </w:p>
    <w:p w14:paraId="461A50D9" w14:textId="77777777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497338">
        <w:rPr>
          <w:rFonts w:ascii="Arial" w:hAnsi="Arial" w:cs="Arial"/>
          <w:b/>
          <w:bCs/>
        </w:rPr>
        <w:t>Primera. Quant a les autoritzacions i la seva transmissió</w:t>
      </w:r>
    </w:p>
    <w:p w14:paraId="7A9C6920" w14:textId="68A297F7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A partir del contingut de l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article 15 de la Llei de comerç, 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ha elaborat un text amb una nova redacció dels articles 15 i 16 de l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 xml:space="preserve">ordenança tipus, que substitueix la redacció anterior, i que es plasma en el </w:t>
      </w:r>
      <w:r>
        <w:rPr>
          <w:rFonts w:ascii="Arial" w:hAnsi="Arial" w:cs="Arial"/>
        </w:rPr>
        <w:t>“</w:t>
      </w:r>
      <w:r w:rsidRPr="00497338">
        <w:rPr>
          <w:rFonts w:ascii="Arial" w:hAnsi="Arial" w:cs="Arial"/>
        </w:rPr>
        <w:t>document annex núm. 1</w:t>
      </w:r>
      <w:r>
        <w:rPr>
          <w:rFonts w:ascii="Arial" w:hAnsi="Arial" w:cs="Arial"/>
        </w:rPr>
        <w:t>”</w:t>
      </w:r>
      <w:r w:rsidRPr="00497338">
        <w:rPr>
          <w:rFonts w:ascii="Arial" w:hAnsi="Arial" w:cs="Arial"/>
        </w:rPr>
        <w:t>, que 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adjunta a aquest informe.</w:t>
      </w:r>
    </w:p>
    <w:p w14:paraId="51D0730D" w14:textId="0B3D5572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ha considerat que cal mantenir aquells aspectes de l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ordenança tipus que desenvolupen el Decret 2015, que no eren contraris a la Llei de comerç, que, cal recordar, no el deroga expressament.</w:t>
      </w:r>
      <w:r w:rsidR="001D3236">
        <w:rPr>
          <w:rFonts w:ascii="Arial" w:hAnsi="Arial" w:cs="Arial"/>
        </w:rPr>
        <w:br/>
      </w:r>
    </w:p>
    <w:p w14:paraId="0B939BD1" w14:textId="77777777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497338">
        <w:rPr>
          <w:rFonts w:ascii="Arial" w:hAnsi="Arial" w:cs="Arial"/>
          <w:b/>
          <w:bCs/>
        </w:rPr>
        <w:t>Segona. Sobre el règim sancionador</w:t>
      </w:r>
    </w:p>
    <w:p w14:paraId="3A620B9D" w14:textId="650E410F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Per altra banda, i com ja 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ha assenyalat abans, 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ha elaborat una nova redacció del Capítol VII. RÈGIM SANCIONADOR (articles 26 a 29) de l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ordenança, que substitueixen els preceptes anteriors, i 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ha considerat adient afegir un nou precepte que tanca el capítol i que no</w:t>
      </w:r>
      <w:r w:rsidR="001D3236">
        <w:rPr>
          <w:rFonts w:ascii="Arial" w:hAnsi="Arial" w:cs="Arial"/>
        </w:rPr>
        <w:t xml:space="preserve"> </w:t>
      </w:r>
      <w:r w:rsidRPr="00497338">
        <w:rPr>
          <w:rFonts w:ascii="Arial" w:hAnsi="Arial" w:cs="Arial"/>
        </w:rPr>
        <w:t>era en la redacció originària, com és l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 xml:space="preserve">article 30, per regular la remissió normativa en matèria de règim sancionador, en allò no previst en la </w:t>
      </w:r>
      <w:r w:rsidR="001D3236">
        <w:rPr>
          <w:rFonts w:ascii="Arial" w:hAnsi="Arial" w:cs="Arial"/>
        </w:rPr>
        <w:t>mateix</w:t>
      </w:r>
      <w:r w:rsidRPr="00497338">
        <w:rPr>
          <w:rFonts w:ascii="Arial" w:hAnsi="Arial" w:cs="Arial"/>
        </w:rPr>
        <w:t>a ordenança, a la Llei de comerç.</w:t>
      </w:r>
    </w:p>
    <w:p w14:paraId="5E645934" w14:textId="2FC60238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Per a la seva elaboració, 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han tingut en compte les disposicions de la Llei de comerç, en el sentit que permet que les ordenances municipals puguin tipificar infraccions lleus i greus previstes en la llei, i inclusivament afegir-n</w:t>
      </w:r>
      <w:r w:rsidR="001D3236">
        <w:rPr>
          <w:rFonts w:ascii="Arial" w:hAnsi="Arial" w:cs="Arial"/>
        </w:rPr>
        <w:t>’hi</w:t>
      </w:r>
      <w:r w:rsidRPr="00497338">
        <w:rPr>
          <w:rFonts w:ascii="Arial" w:hAnsi="Arial" w:cs="Arial"/>
        </w:rPr>
        <w:t xml:space="preserve"> d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altres.</w:t>
      </w:r>
    </w:p>
    <w:p w14:paraId="1F11637B" w14:textId="7B48913E" w:rsidR="00497338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Com 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ha avançat, 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>exclou, per mandat legal, la tipificació de les infraccions molt greus.</w:t>
      </w:r>
    </w:p>
    <w:p w14:paraId="382E6507" w14:textId="55333A44" w:rsidR="009D6087" w:rsidRPr="00497338" w:rsidRDefault="00497338" w:rsidP="00497338">
      <w:pPr>
        <w:spacing w:after="120" w:line="276" w:lineRule="auto"/>
        <w:jc w:val="both"/>
        <w:rPr>
          <w:rFonts w:ascii="Arial" w:hAnsi="Arial" w:cs="Arial"/>
        </w:rPr>
      </w:pPr>
      <w:r w:rsidRPr="00497338">
        <w:rPr>
          <w:rFonts w:ascii="Arial" w:hAnsi="Arial" w:cs="Arial"/>
        </w:rPr>
        <w:t>S</w:t>
      </w:r>
      <w:r w:rsidR="001D3236">
        <w:rPr>
          <w:rFonts w:ascii="Arial" w:hAnsi="Arial" w:cs="Arial"/>
        </w:rPr>
        <w:t>’</w:t>
      </w:r>
      <w:r w:rsidRPr="00497338">
        <w:rPr>
          <w:rFonts w:ascii="Arial" w:hAnsi="Arial" w:cs="Arial"/>
        </w:rPr>
        <w:t xml:space="preserve">adjunta com a </w:t>
      </w:r>
      <w:r>
        <w:rPr>
          <w:rFonts w:ascii="Arial" w:hAnsi="Arial" w:cs="Arial"/>
        </w:rPr>
        <w:t>“</w:t>
      </w:r>
      <w:r w:rsidRPr="00497338">
        <w:rPr>
          <w:rFonts w:ascii="Arial" w:hAnsi="Arial" w:cs="Arial"/>
        </w:rPr>
        <w:t>document annex núm. 2</w:t>
      </w:r>
      <w:r>
        <w:rPr>
          <w:rFonts w:ascii="Arial" w:hAnsi="Arial" w:cs="Arial"/>
        </w:rPr>
        <w:t>”</w:t>
      </w:r>
      <w:r w:rsidRPr="00497338">
        <w:rPr>
          <w:rFonts w:ascii="Arial" w:hAnsi="Arial" w:cs="Arial"/>
        </w:rPr>
        <w:t xml:space="preserve"> el text amb la redacció dels preceptes esmentats.</w:t>
      </w:r>
    </w:p>
    <w:sectPr w:rsidR="009D6087" w:rsidRPr="00497338" w:rsidSect="00395B67">
      <w:footnotePr>
        <w:numFmt w:val="chicago"/>
        <w:numRestart w:val="eachPage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5D00" w14:textId="77777777" w:rsidR="00873CB9" w:rsidRDefault="00873CB9" w:rsidP="004611EC">
      <w:pPr>
        <w:spacing w:after="0" w:line="240" w:lineRule="auto"/>
      </w:pPr>
      <w:r>
        <w:separator/>
      </w:r>
    </w:p>
  </w:endnote>
  <w:endnote w:type="continuationSeparator" w:id="0">
    <w:p w14:paraId="3C130933" w14:textId="77777777" w:rsidR="00873CB9" w:rsidRDefault="00873CB9" w:rsidP="0046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9A87" w14:textId="77777777" w:rsidR="00873CB9" w:rsidRDefault="00873CB9" w:rsidP="004611EC">
      <w:pPr>
        <w:spacing w:after="0" w:line="240" w:lineRule="auto"/>
      </w:pPr>
      <w:r>
        <w:separator/>
      </w:r>
    </w:p>
  </w:footnote>
  <w:footnote w:type="continuationSeparator" w:id="0">
    <w:p w14:paraId="772C7E6B" w14:textId="77777777" w:rsidR="00873CB9" w:rsidRDefault="00873CB9" w:rsidP="0046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C3A"/>
    <w:multiLevelType w:val="hybridMultilevel"/>
    <w:tmpl w:val="EB1AED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DBC"/>
    <w:multiLevelType w:val="hybridMultilevel"/>
    <w:tmpl w:val="6E36A70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D2410"/>
    <w:multiLevelType w:val="hybridMultilevel"/>
    <w:tmpl w:val="A296C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152B"/>
    <w:multiLevelType w:val="hybridMultilevel"/>
    <w:tmpl w:val="01FA51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47821"/>
    <w:multiLevelType w:val="hybridMultilevel"/>
    <w:tmpl w:val="944CAE82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9143FB"/>
    <w:multiLevelType w:val="hybridMultilevel"/>
    <w:tmpl w:val="0878271C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6724F"/>
    <w:multiLevelType w:val="hybridMultilevel"/>
    <w:tmpl w:val="2C16ACEE"/>
    <w:lvl w:ilvl="0" w:tplc="CD303F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2EA90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7D4DD0"/>
    <w:multiLevelType w:val="hybridMultilevel"/>
    <w:tmpl w:val="E70EC12A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337839">
    <w:abstractNumId w:val="8"/>
  </w:num>
  <w:num w:numId="2" w16cid:durableId="579483538">
    <w:abstractNumId w:val="9"/>
  </w:num>
  <w:num w:numId="3" w16cid:durableId="918442140">
    <w:abstractNumId w:val="4"/>
  </w:num>
  <w:num w:numId="4" w16cid:durableId="1814788688">
    <w:abstractNumId w:val="2"/>
  </w:num>
  <w:num w:numId="5" w16cid:durableId="986206608">
    <w:abstractNumId w:val="5"/>
  </w:num>
  <w:num w:numId="6" w16cid:durableId="1961640549">
    <w:abstractNumId w:val="11"/>
  </w:num>
  <w:num w:numId="7" w16cid:durableId="1099789004">
    <w:abstractNumId w:val="3"/>
  </w:num>
  <w:num w:numId="8" w16cid:durableId="1761564414">
    <w:abstractNumId w:val="0"/>
  </w:num>
  <w:num w:numId="9" w16cid:durableId="209340954">
    <w:abstractNumId w:val="10"/>
  </w:num>
  <w:num w:numId="10" w16cid:durableId="178392833">
    <w:abstractNumId w:val="1"/>
  </w:num>
  <w:num w:numId="11" w16cid:durableId="1792703789">
    <w:abstractNumId w:val="6"/>
  </w:num>
  <w:num w:numId="12" w16cid:durableId="615061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81BF8"/>
    <w:rsid w:val="000C147E"/>
    <w:rsid w:val="000E1DE7"/>
    <w:rsid w:val="001722C2"/>
    <w:rsid w:val="001A6D4C"/>
    <w:rsid w:val="001D3236"/>
    <w:rsid w:val="00206AAA"/>
    <w:rsid w:val="00236010"/>
    <w:rsid w:val="002A31DA"/>
    <w:rsid w:val="00347FFB"/>
    <w:rsid w:val="00395B67"/>
    <w:rsid w:val="003E39A4"/>
    <w:rsid w:val="0041743D"/>
    <w:rsid w:val="00442A29"/>
    <w:rsid w:val="004611EC"/>
    <w:rsid w:val="00475FEA"/>
    <w:rsid w:val="00497338"/>
    <w:rsid w:val="005A63D1"/>
    <w:rsid w:val="005F2AD5"/>
    <w:rsid w:val="0061306A"/>
    <w:rsid w:val="006428F5"/>
    <w:rsid w:val="00646E06"/>
    <w:rsid w:val="00651382"/>
    <w:rsid w:val="00661C1F"/>
    <w:rsid w:val="00692104"/>
    <w:rsid w:val="006B28A4"/>
    <w:rsid w:val="006C7E46"/>
    <w:rsid w:val="00722A1D"/>
    <w:rsid w:val="007536B8"/>
    <w:rsid w:val="00797AA4"/>
    <w:rsid w:val="007B7206"/>
    <w:rsid w:val="008056F7"/>
    <w:rsid w:val="00873CB9"/>
    <w:rsid w:val="008A76AC"/>
    <w:rsid w:val="00914E1C"/>
    <w:rsid w:val="00971EE8"/>
    <w:rsid w:val="009D6087"/>
    <w:rsid w:val="00A01038"/>
    <w:rsid w:val="00A066B8"/>
    <w:rsid w:val="00A237EF"/>
    <w:rsid w:val="00B75C0A"/>
    <w:rsid w:val="00BA4DDC"/>
    <w:rsid w:val="00BE236D"/>
    <w:rsid w:val="00C254C2"/>
    <w:rsid w:val="00C67ABF"/>
    <w:rsid w:val="00C95A03"/>
    <w:rsid w:val="00CD17DB"/>
    <w:rsid w:val="00D0099C"/>
    <w:rsid w:val="00D91C45"/>
    <w:rsid w:val="00DA3FF0"/>
    <w:rsid w:val="00E40885"/>
    <w:rsid w:val="00EA2670"/>
    <w:rsid w:val="00EB6001"/>
    <w:rsid w:val="00EC19A8"/>
    <w:rsid w:val="00F15D7E"/>
    <w:rsid w:val="00F24805"/>
    <w:rsid w:val="00F31BEB"/>
    <w:rsid w:val="00F345F9"/>
    <w:rsid w:val="00F432B4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611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11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1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25</cp:revision>
  <dcterms:created xsi:type="dcterms:W3CDTF">2022-09-16T09:51:00Z</dcterms:created>
  <dcterms:modified xsi:type="dcterms:W3CDTF">2022-11-25T14:35:00Z</dcterms:modified>
</cp:coreProperties>
</file>